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1E08722" w14:textId="6D242D86" w:rsidR="00291BBB" w:rsidRDefault="00B128E8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74248D" w:rsidRPr="0074248D">
        <w:rPr>
          <w:rFonts w:ascii="Calibri" w:eastAsia="Calibri" w:hAnsi="Calibri" w:cs="Calibri"/>
          <w:b/>
          <w:bCs/>
          <w:sz w:val="28"/>
          <w:szCs w:val="28"/>
          <w:lang w:val="cs-CZ"/>
        </w:rPr>
        <w:t>CBRE: Na Václavském náměstí se otevře nový dům hraček</w:t>
      </w:r>
    </w:p>
    <w:p w14:paraId="1FF36365" w14:textId="77777777" w:rsidR="0074248D" w:rsidRPr="00086708" w:rsidRDefault="0074248D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6846763E" w14:textId="1559950B" w:rsidR="0074248D" w:rsidRDefault="006400E6" w:rsidP="0074248D">
      <w:pPr>
        <w:jc w:val="both"/>
        <w:rPr>
          <w:rFonts w:ascii="Calibri" w:eastAsia="Calibri" w:hAnsi="Calibri" w:cs="Calibri"/>
          <w:bCs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9C6DFD">
        <w:rPr>
          <w:rFonts w:ascii="Calibri" w:eastAsia="Calibri" w:hAnsi="Calibri" w:cs="Calibri"/>
          <w:color w:val="auto"/>
          <w:lang w:val="cs-CZ"/>
        </w:rPr>
        <w:t>2</w:t>
      </w:r>
      <w:r w:rsidR="00EB50B3">
        <w:rPr>
          <w:rFonts w:ascii="Calibri" w:eastAsia="Calibri" w:hAnsi="Calibri" w:cs="Calibri"/>
          <w:color w:val="auto"/>
          <w:lang w:val="cs-CZ"/>
        </w:rPr>
        <w:t>4</w:t>
      </w:r>
      <w:r>
        <w:rPr>
          <w:rFonts w:ascii="Calibri" w:eastAsia="Calibri" w:hAnsi="Calibri" w:cs="Calibri"/>
          <w:color w:val="auto"/>
          <w:lang w:val="cs-CZ"/>
        </w:rPr>
        <w:t xml:space="preserve">. </w:t>
      </w:r>
      <w:r w:rsidR="0074248D">
        <w:rPr>
          <w:rFonts w:ascii="Calibri" w:eastAsia="Calibri" w:hAnsi="Calibri" w:cs="Calibri"/>
          <w:color w:val="auto"/>
          <w:lang w:val="cs-CZ"/>
        </w:rPr>
        <w:t>dubn</w:t>
      </w:r>
      <w:r>
        <w:rPr>
          <w:rFonts w:ascii="Calibri" w:eastAsia="Calibri" w:hAnsi="Calibri" w:cs="Calibri"/>
          <w:color w:val="auto"/>
          <w:lang w:val="cs-CZ"/>
        </w:rPr>
        <w:t xml:space="preserve">a </w:t>
      </w:r>
      <w:r>
        <w:rPr>
          <w:rFonts w:ascii="Calibri" w:eastAsia="Calibri" w:hAnsi="Calibri" w:cs="Calibri"/>
          <w:lang w:val="cs-CZ"/>
        </w:rPr>
        <w:t xml:space="preserve">2020 – </w:t>
      </w:r>
      <w:proofErr w:type="spellStart"/>
      <w:r w:rsidR="0074248D" w:rsidRPr="0074248D">
        <w:rPr>
          <w:rFonts w:ascii="Calibri" w:eastAsia="Calibri" w:hAnsi="Calibri" w:cs="Calibri"/>
          <w:bCs/>
          <w:lang w:val="cs-CZ"/>
        </w:rPr>
        <w:t>Sparkys</w:t>
      </w:r>
      <w:proofErr w:type="spellEnd"/>
      <w:r w:rsidR="0074248D" w:rsidRPr="0074248D">
        <w:rPr>
          <w:rFonts w:ascii="Calibri" w:eastAsia="Calibri" w:hAnsi="Calibri" w:cs="Calibri"/>
          <w:bCs/>
          <w:lang w:val="cs-CZ"/>
        </w:rPr>
        <w:t>, český prodejce hraček, dárků, dětského oblečení a potřeb pro</w:t>
      </w:r>
      <w:r w:rsidR="0074248D">
        <w:rPr>
          <w:rFonts w:ascii="Calibri" w:eastAsia="Calibri" w:hAnsi="Calibri" w:cs="Calibri"/>
          <w:bCs/>
          <w:lang w:val="cs-CZ"/>
        </w:rPr>
        <w:t> </w:t>
      </w:r>
      <w:r w:rsidR="0074248D" w:rsidRPr="0074248D">
        <w:rPr>
          <w:rFonts w:ascii="Calibri" w:eastAsia="Calibri" w:hAnsi="Calibri" w:cs="Calibri"/>
          <w:bCs/>
          <w:lang w:val="cs-CZ"/>
        </w:rPr>
        <w:t>děti, otevře v květnu dvoupatrový dům hraček přímo na Václavském náměstí v Paláci Juliš. Obchod s celkovou plochou více než 1 000 m</w:t>
      </w:r>
      <w:r w:rsidR="0074248D" w:rsidRPr="0074248D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74248D" w:rsidRPr="0074248D">
        <w:rPr>
          <w:rFonts w:ascii="Calibri" w:eastAsia="Calibri" w:hAnsi="Calibri" w:cs="Calibri"/>
          <w:bCs/>
          <w:lang w:val="cs-CZ"/>
        </w:rPr>
        <w:t xml:space="preserve"> se tak stane novou vlajkovou lodí firmy v České republice. Transakci zprostředkovala společnost CBRE, světový lídr v oblasti komerčních realitních služeb. Zastupovala přitom rakouský investiční fond</w:t>
      </w:r>
      <w:r w:rsidR="0067166B">
        <w:rPr>
          <w:rFonts w:ascii="Calibri" w:eastAsia="Calibri" w:hAnsi="Calibri" w:cs="Calibri"/>
          <w:bCs/>
          <w:lang w:val="cs-CZ"/>
        </w:rPr>
        <w:t xml:space="preserve"> S</w:t>
      </w:r>
      <w:r w:rsidR="0074248D" w:rsidRPr="0074248D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="0074248D" w:rsidRPr="0074248D">
        <w:rPr>
          <w:rFonts w:ascii="Calibri" w:eastAsia="Calibri" w:hAnsi="Calibri" w:cs="Calibri"/>
          <w:bCs/>
          <w:lang w:val="cs-CZ"/>
        </w:rPr>
        <w:t>Immobilien</w:t>
      </w:r>
      <w:proofErr w:type="spellEnd"/>
      <w:r w:rsidR="0074248D" w:rsidRPr="0074248D">
        <w:rPr>
          <w:rFonts w:ascii="Calibri" w:eastAsia="Calibri" w:hAnsi="Calibri" w:cs="Calibri"/>
          <w:bCs/>
          <w:lang w:val="cs-CZ"/>
        </w:rPr>
        <w:t xml:space="preserve"> AG, který exkluzivní prostory ve funkcionalistické budově z první poloviny 20. století pronajímá.</w:t>
      </w:r>
    </w:p>
    <w:p w14:paraId="24787503" w14:textId="77777777" w:rsidR="0074248D" w:rsidRPr="0074248D" w:rsidRDefault="0074248D" w:rsidP="0074248D">
      <w:pPr>
        <w:jc w:val="both"/>
        <w:rPr>
          <w:rFonts w:ascii="Calibri" w:eastAsia="Calibri" w:hAnsi="Calibri" w:cs="Calibri"/>
          <w:bCs/>
          <w:lang w:val="cs-CZ"/>
        </w:rPr>
      </w:pPr>
    </w:p>
    <w:p w14:paraId="7233262D" w14:textId="6CC24CB4" w:rsidR="0074248D" w:rsidRDefault="0074248D" w:rsidP="0074248D">
      <w:pPr>
        <w:jc w:val="both"/>
        <w:rPr>
          <w:rFonts w:ascii="Calibri" w:eastAsia="Calibri" w:hAnsi="Calibri" w:cs="Calibri"/>
          <w:bCs/>
          <w:i/>
          <w:lang w:val="cs-CZ"/>
        </w:rPr>
      </w:pPr>
      <w:r w:rsidRPr="0074248D">
        <w:rPr>
          <w:rFonts w:ascii="Calibri" w:eastAsia="Calibri" w:hAnsi="Calibri" w:cs="Calibri"/>
          <w:bCs/>
          <w:i/>
          <w:lang w:val="cs-CZ"/>
        </w:rPr>
        <w:t>„Dům v centru Prahy na Václavském náměstí 22 je skutečně unikátní, a to nejen svým umístěním, ale také dispozičním řešením. V této lokalitě se totiž obvykle pronajímají jednotky ve velikosti od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74248D">
        <w:rPr>
          <w:rFonts w:ascii="Calibri" w:eastAsia="Calibri" w:hAnsi="Calibri" w:cs="Calibri"/>
          <w:bCs/>
          <w:i/>
          <w:lang w:val="cs-CZ"/>
        </w:rPr>
        <w:t>300 do 400 m</w:t>
      </w:r>
      <w:r w:rsidRPr="0074248D">
        <w:rPr>
          <w:rFonts w:ascii="Calibri" w:eastAsia="Calibri" w:hAnsi="Calibri" w:cs="Calibri"/>
          <w:bCs/>
          <w:i/>
          <w:vertAlign w:val="superscript"/>
          <w:lang w:val="cs-CZ"/>
        </w:rPr>
        <w:t>2</w:t>
      </w:r>
      <w:r w:rsidRPr="0074248D">
        <w:rPr>
          <w:rFonts w:ascii="Calibri" w:eastAsia="Calibri" w:hAnsi="Calibri" w:cs="Calibri"/>
          <w:bCs/>
          <w:i/>
          <w:lang w:val="cs-CZ"/>
        </w:rPr>
        <w:t>. V Paláci Juliš jsme však měli k dispozici mezonetový prostor s celkovou plochou více než 1 000 m</w:t>
      </w:r>
      <w:r w:rsidRPr="0074248D">
        <w:rPr>
          <w:rFonts w:ascii="Calibri" w:eastAsia="Calibri" w:hAnsi="Calibri" w:cs="Calibri"/>
          <w:bCs/>
          <w:i/>
          <w:vertAlign w:val="superscript"/>
          <w:lang w:val="cs-CZ"/>
        </w:rPr>
        <w:t>2</w:t>
      </w:r>
      <w:r w:rsidRPr="0074248D">
        <w:rPr>
          <w:rFonts w:ascii="Calibri" w:eastAsia="Calibri" w:hAnsi="Calibri" w:cs="Calibri"/>
          <w:bCs/>
          <w:i/>
          <w:lang w:val="cs-CZ"/>
        </w:rPr>
        <w:t>,“</w:t>
      </w:r>
      <w:r w:rsidRPr="0074248D">
        <w:rPr>
          <w:rFonts w:ascii="Calibri" w:eastAsia="Calibri" w:hAnsi="Calibri" w:cs="Calibri"/>
          <w:bCs/>
          <w:lang w:val="cs-CZ"/>
        </w:rPr>
        <w:t xml:space="preserve"> komentuje </w:t>
      </w:r>
      <w:r w:rsidRPr="0074248D">
        <w:rPr>
          <w:rFonts w:ascii="Calibri" w:eastAsia="Calibri" w:hAnsi="Calibri" w:cs="Calibri"/>
          <w:b/>
          <w:bCs/>
          <w:lang w:val="cs-CZ"/>
        </w:rPr>
        <w:t xml:space="preserve">Lucie Romeo, </w:t>
      </w:r>
      <w:proofErr w:type="spellStart"/>
      <w:r w:rsidRPr="0074248D">
        <w:rPr>
          <w:rFonts w:ascii="Calibri" w:eastAsia="Calibri" w:hAnsi="Calibri" w:cs="Calibri"/>
          <w:b/>
          <w:bCs/>
          <w:lang w:val="cs-CZ"/>
        </w:rPr>
        <w:t>Consultant</w:t>
      </w:r>
      <w:proofErr w:type="spellEnd"/>
      <w:r w:rsidRPr="0074248D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74248D">
        <w:rPr>
          <w:rFonts w:ascii="Calibri" w:eastAsia="Calibri" w:hAnsi="Calibri" w:cs="Calibri"/>
          <w:b/>
          <w:bCs/>
          <w:lang w:val="cs-CZ"/>
        </w:rPr>
        <w:t>Advisory</w:t>
      </w:r>
      <w:proofErr w:type="spellEnd"/>
      <w:r w:rsidRPr="0074248D">
        <w:rPr>
          <w:rFonts w:ascii="Calibri" w:eastAsia="Calibri" w:hAnsi="Calibri" w:cs="Calibri"/>
          <w:b/>
          <w:bCs/>
          <w:lang w:val="cs-CZ"/>
        </w:rPr>
        <w:t xml:space="preserve"> &amp; </w:t>
      </w:r>
      <w:proofErr w:type="spellStart"/>
      <w:r w:rsidRPr="0074248D">
        <w:rPr>
          <w:rFonts w:ascii="Calibri" w:eastAsia="Calibri" w:hAnsi="Calibri" w:cs="Calibri"/>
          <w:b/>
          <w:bCs/>
          <w:lang w:val="cs-CZ"/>
        </w:rPr>
        <w:t>Transaction</w:t>
      </w:r>
      <w:proofErr w:type="spellEnd"/>
      <w:r w:rsidRPr="0074248D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Pr="0074248D">
        <w:rPr>
          <w:rFonts w:ascii="Calibri" w:eastAsia="Calibri" w:hAnsi="Calibri" w:cs="Calibri"/>
          <w:b/>
          <w:bCs/>
          <w:lang w:val="cs-CZ"/>
        </w:rPr>
        <w:t>Services</w:t>
      </w:r>
      <w:proofErr w:type="spellEnd"/>
      <w:r w:rsidRPr="0074248D">
        <w:rPr>
          <w:rFonts w:ascii="Calibri" w:eastAsia="Calibri" w:hAnsi="Calibri" w:cs="Calibri"/>
          <w:b/>
          <w:bCs/>
          <w:lang w:val="cs-CZ"/>
        </w:rPr>
        <w:t xml:space="preserve"> – Retail v CBRE</w:t>
      </w:r>
      <w:r w:rsidRPr="0074248D">
        <w:rPr>
          <w:rFonts w:ascii="Calibri" w:eastAsia="Calibri" w:hAnsi="Calibri" w:cs="Calibri"/>
          <w:bCs/>
          <w:lang w:val="cs-CZ"/>
        </w:rPr>
        <w:t xml:space="preserve">, a dodává: </w:t>
      </w:r>
      <w:r w:rsidRPr="0074248D">
        <w:rPr>
          <w:rFonts w:ascii="Calibri" w:eastAsia="Calibri" w:hAnsi="Calibri" w:cs="Calibri"/>
          <w:bCs/>
          <w:i/>
          <w:lang w:val="cs-CZ"/>
        </w:rPr>
        <w:t xml:space="preserve">„Hledali jsme opravdu reprezentativního nájemce, který dané místo ještě povznese. </w:t>
      </w:r>
      <w:proofErr w:type="spellStart"/>
      <w:r w:rsidRPr="0074248D">
        <w:rPr>
          <w:rFonts w:ascii="Calibri" w:eastAsia="Calibri" w:hAnsi="Calibri" w:cs="Calibri"/>
          <w:bCs/>
          <w:i/>
          <w:lang w:val="cs-CZ"/>
        </w:rPr>
        <w:t>Sparkys</w:t>
      </w:r>
      <w:proofErr w:type="spellEnd"/>
      <w:r w:rsidRPr="0074248D">
        <w:rPr>
          <w:rFonts w:ascii="Calibri" w:eastAsia="Calibri" w:hAnsi="Calibri" w:cs="Calibri"/>
          <w:bCs/>
          <w:i/>
          <w:lang w:val="cs-CZ"/>
        </w:rPr>
        <w:t xml:space="preserve"> zrovna ukončil pronájem v nedaleké Havířské ulici a poohlížel se po nových prostorách na hojně frekventovaném a dobře viditelném místě. Od počátku šlo o jasnou shodu, takže obě strany uzavřely smlouvu o dlouhodobém pronájmu.“</w:t>
      </w:r>
    </w:p>
    <w:p w14:paraId="3C2DBF05" w14:textId="77777777" w:rsidR="0074248D" w:rsidRPr="0074248D" w:rsidRDefault="0074248D" w:rsidP="0074248D">
      <w:pPr>
        <w:jc w:val="both"/>
        <w:rPr>
          <w:rFonts w:ascii="Calibri" w:eastAsia="Calibri" w:hAnsi="Calibri" w:cs="Calibri"/>
          <w:bCs/>
          <w:i/>
          <w:lang w:val="cs-CZ"/>
        </w:rPr>
      </w:pPr>
    </w:p>
    <w:p w14:paraId="2F4C7DA4" w14:textId="77777777" w:rsidR="0074248D" w:rsidRDefault="0074248D" w:rsidP="0074248D">
      <w:pPr>
        <w:jc w:val="both"/>
        <w:rPr>
          <w:rFonts w:ascii="Calibri" w:eastAsia="Calibri" w:hAnsi="Calibri" w:cs="Calibri"/>
          <w:bCs/>
          <w:lang w:val="cs-CZ"/>
        </w:rPr>
      </w:pPr>
      <w:proofErr w:type="spellStart"/>
      <w:r w:rsidRPr="0074248D">
        <w:rPr>
          <w:rFonts w:ascii="Calibri" w:eastAsia="Calibri" w:hAnsi="Calibri" w:cs="Calibri"/>
          <w:bCs/>
          <w:lang w:val="cs-CZ"/>
        </w:rPr>
        <w:t>Sparkys</w:t>
      </w:r>
      <w:proofErr w:type="spellEnd"/>
      <w:r w:rsidRPr="0074248D">
        <w:rPr>
          <w:rFonts w:ascii="Calibri" w:eastAsia="Calibri" w:hAnsi="Calibri" w:cs="Calibri"/>
          <w:bCs/>
          <w:lang w:val="cs-CZ"/>
        </w:rPr>
        <w:t xml:space="preserve"> je </w:t>
      </w:r>
      <w:proofErr w:type="spellStart"/>
      <w:r w:rsidRPr="0074248D">
        <w:rPr>
          <w:rFonts w:ascii="Calibri" w:eastAsia="Calibri" w:hAnsi="Calibri" w:cs="Calibri"/>
          <w:bCs/>
          <w:lang w:val="cs-CZ"/>
        </w:rPr>
        <w:t>součastí</w:t>
      </w:r>
      <w:proofErr w:type="spellEnd"/>
      <w:r w:rsidRPr="0074248D">
        <w:rPr>
          <w:rFonts w:ascii="Calibri" w:eastAsia="Calibri" w:hAnsi="Calibri" w:cs="Calibri"/>
          <w:bCs/>
          <w:lang w:val="cs-CZ"/>
        </w:rPr>
        <w:t xml:space="preserve"> skupiny </w:t>
      </w:r>
      <w:proofErr w:type="spellStart"/>
      <w:r w:rsidRPr="0074248D">
        <w:rPr>
          <w:rFonts w:ascii="Calibri" w:eastAsia="Calibri" w:hAnsi="Calibri" w:cs="Calibri"/>
          <w:bCs/>
          <w:lang w:val="cs-CZ"/>
        </w:rPr>
        <w:t>Wormelen</w:t>
      </w:r>
      <w:proofErr w:type="spellEnd"/>
      <w:r w:rsidRPr="0074248D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Pr="0074248D">
        <w:rPr>
          <w:rFonts w:ascii="Calibri" w:eastAsia="Calibri" w:hAnsi="Calibri" w:cs="Calibri"/>
          <w:bCs/>
          <w:lang w:val="cs-CZ"/>
        </w:rPr>
        <w:t>group</w:t>
      </w:r>
      <w:proofErr w:type="spellEnd"/>
      <w:r w:rsidRPr="0074248D">
        <w:rPr>
          <w:rFonts w:ascii="Calibri" w:eastAsia="Calibri" w:hAnsi="Calibri" w:cs="Calibri"/>
          <w:bCs/>
          <w:lang w:val="cs-CZ"/>
        </w:rPr>
        <w:t xml:space="preserve">, která obchoduje s hračkami a potřebami pro děti již od roku 1990. </w:t>
      </w:r>
    </w:p>
    <w:p w14:paraId="4205EEDE" w14:textId="77777777" w:rsidR="0074248D" w:rsidRPr="0074248D" w:rsidRDefault="0074248D" w:rsidP="0074248D">
      <w:pPr>
        <w:jc w:val="both"/>
        <w:rPr>
          <w:rFonts w:ascii="Calibri" w:eastAsia="Calibri" w:hAnsi="Calibri" w:cs="Calibri"/>
          <w:bCs/>
          <w:lang w:val="cs-CZ"/>
        </w:rPr>
      </w:pPr>
    </w:p>
    <w:p w14:paraId="247CC8A2" w14:textId="408ABBA7" w:rsidR="0074248D" w:rsidRDefault="0074248D" w:rsidP="0074248D">
      <w:pPr>
        <w:jc w:val="both"/>
        <w:rPr>
          <w:rFonts w:ascii="Calibri" w:eastAsia="Calibri" w:hAnsi="Calibri" w:cs="Calibri"/>
          <w:bCs/>
          <w:lang w:val="cs-CZ"/>
        </w:rPr>
      </w:pPr>
      <w:r w:rsidRPr="0074248D">
        <w:rPr>
          <w:rFonts w:ascii="Calibri" w:eastAsia="Calibri" w:hAnsi="Calibri" w:cs="Calibri"/>
          <w:bCs/>
          <w:i/>
          <w:lang w:val="cs-CZ"/>
        </w:rPr>
        <w:t>„Už delší dobu jsme hledali možnost přestěhovat náš ,,Dům hraček“ na viditelnější místo. Tato lokalita je jedna z nejatraktivnějších v Praze a tudíž následovalo rychlé rozhodnutí. Na zákazníky čeká útulná prodejna s lepší dostupností. Otevření předpokládáme po celkové rekonstrukci v květnu,“</w:t>
      </w:r>
      <w:r w:rsidRPr="0074248D">
        <w:rPr>
          <w:rFonts w:ascii="Calibri" w:eastAsia="Calibri" w:hAnsi="Calibri" w:cs="Calibri"/>
          <w:bCs/>
          <w:lang w:val="cs-CZ"/>
        </w:rPr>
        <w:t xml:space="preserve"> dodává </w:t>
      </w:r>
      <w:r w:rsidR="0067166B" w:rsidRPr="007F220B">
        <w:rPr>
          <w:rFonts w:ascii="Calibri" w:eastAsia="Calibri" w:hAnsi="Calibri" w:cs="Calibri"/>
          <w:b/>
          <w:bCs/>
          <w:lang w:val="cs-CZ"/>
        </w:rPr>
        <w:t xml:space="preserve">Jan Mařík, </w:t>
      </w:r>
      <w:r w:rsidR="00F44066" w:rsidRPr="007F220B">
        <w:rPr>
          <w:rFonts w:ascii="Calibri" w:eastAsia="Calibri" w:hAnsi="Calibri" w:cs="Calibri"/>
          <w:b/>
          <w:bCs/>
          <w:lang w:val="cs-CZ"/>
        </w:rPr>
        <w:t xml:space="preserve">jednatel </w:t>
      </w:r>
      <w:proofErr w:type="spellStart"/>
      <w:r w:rsidR="00F44066" w:rsidRPr="007F220B">
        <w:rPr>
          <w:rFonts w:ascii="Calibri" w:eastAsia="Calibri" w:hAnsi="Calibri" w:cs="Calibri"/>
          <w:b/>
          <w:bCs/>
          <w:lang w:val="cs-CZ"/>
        </w:rPr>
        <w:t>Sparkys</w:t>
      </w:r>
      <w:proofErr w:type="spellEnd"/>
      <w:r w:rsidR="00F44066">
        <w:rPr>
          <w:rFonts w:ascii="Calibri" w:eastAsia="Calibri" w:hAnsi="Calibri" w:cs="Calibri"/>
          <w:bCs/>
          <w:lang w:val="cs-CZ"/>
        </w:rPr>
        <w:t xml:space="preserve">. </w:t>
      </w:r>
    </w:p>
    <w:p w14:paraId="254DC502" w14:textId="3648487E" w:rsidR="00AC566F" w:rsidRDefault="00AC566F" w:rsidP="0074248D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77777777" w:rsidR="009C6DFD" w:rsidRDefault="009C6DFD" w:rsidP="009C6DFD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46F0DB73" w14:textId="77777777" w:rsidR="009C6DFD" w:rsidRPr="007510C6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proofErr w:type="spellStart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</w:t>
      </w:r>
      <w:proofErr w:type="spellEnd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 xml:space="preserve">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Manager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Default="00AC566F" w:rsidP="0074248D">
      <w:pPr>
        <w:jc w:val="both"/>
        <w:rPr>
          <w:rFonts w:ascii="Calibri" w:eastAsia="Calibri" w:hAnsi="Calibri" w:cs="Calibri"/>
          <w:bCs/>
          <w:lang w:val="cs-CZ"/>
        </w:rPr>
      </w:pPr>
    </w:p>
    <w:p w14:paraId="33760B0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</w:rPr>
        <w:t>CBRE</w:t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5291852C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Pavlína Musilová, Communications </w:t>
      </w:r>
      <w:proofErr w:type="spellStart"/>
      <w:r w:rsidRPr="00867D5F">
        <w:rPr>
          <w:rStyle w:val="normaltextrun"/>
          <w:rFonts w:ascii="Calibri" w:hAnsi="Calibri" w:cs="Segoe UI"/>
          <w:color w:val="000000"/>
        </w:rPr>
        <w:t>Manager</w:t>
      </w:r>
      <w:proofErr w:type="spellEnd"/>
      <w:r w:rsidRPr="00867D5F">
        <w:rPr>
          <w:rStyle w:val="normaltextrun"/>
          <w:rFonts w:ascii="Calibri" w:hAnsi="Calibri" w:cs="Segoe UI"/>
          <w:color w:val="000000"/>
        </w:rPr>
        <w:t>, +420 606 611 074, </w:t>
      </w:r>
      <w:hyperlink r:id="rId13" w:tgtFrame="_blank" w:history="1">
        <w:r w:rsidRPr="00867D5F">
          <w:rPr>
            <w:rStyle w:val="normaltextrun"/>
            <w:rFonts w:ascii="Calibri" w:hAnsi="Calibri" w:cs="Segoe UI"/>
            <w:color w:val="000000"/>
            <w:u w:val="single"/>
          </w:rPr>
          <w:t>pavlina.musilova1@cbre.com</w:t>
        </w:r>
      </w:hyperlink>
      <w:r w:rsidRPr="00867D5F">
        <w:rPr>
          <w:rStyle w:val="eop"/>
          <w:rFonts w:ascii="Calibri" w:hAnsi="Calibri" w:cs="Segoe UI"/>
          <w:color w:val="000000"/>
        </w:rPr>
        <w:t> </w:t>
      </w:r>
    </w:p>
    <w:p w14:paraId="33AED854" w14:textId="77777777" w:rsidR="00AC566F" w:rsidRPr="00867D5F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</w:rPr>
        <w:t>CBRE Czech Republic</w:t>
      </w:r>
      <w:r w:rsidRPr="00867D5F">
        <w:rPr>
          <w:rStyle w:val="normaltextrun"/>
          <w:rFonts w:ascii="Calibri" w:hAnsi="Calibri" w:cs="Segoe UI"/>
          <w:color w:val="1F497D"/>
        </w:rPr>
        <w:t>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"https://www.facebook.com/pages/CBRE-News/626929170775263?ref=ts&amp;fref=ts"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Facebook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,</w:t>
      </w:r>
      <w:r w:rsidRPr="00AD577F">
        <w:rPr>
          <w:rStyle w:val="normaltextrun"/>
          <w:rFonts w:ascii="Calibri" w:hAnsi="Calibri" w:cs="Segoe UI"/>
          <w:color w:val="0000FF"/>
        </w:rPr>
        <w:t>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Linkedin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normaltextrun"/>
          <w:rFonts w:ascii="Calibri" w:hAnsi="Calibri" w:cs="Segoe UI"/>
          <w:color w:val="000000"/>
        </w:rPr>
        <w:t>, </w:t>
      </w:r>
      <w:proofErr w:type="spellStart"/>
      <w:r w:rsidRPr="00867D5F">
        <w:rPr>
          <w:rFonts w:ascii="Segoe UI" w:hAnsi="Segoe UI" w:cs="Segoe UI"/>
          <w:color w:val="000000"/>
          <w:sz w:val="18"/>
          <w:szCs w:val="18"/>
        </w:rPr>
        <w:fldChar w:fldCharType="begin"/>
      </w:r>
      <w:r w:rsidRPr="00867D5F">
        <w:rPr>
          <w:rFonts w:ascii="Segoe UI" w:hAnsi="Segoe UI" w:cs="Segoe UI"/>
          <w:color w:val="000000"/>
          <w:sz w:val="18"/>
          <w:szCs w:val="18"/>
        </w:rPr>
        <w:instrText xml:space="preserve"> HYPERLINK "https://www.instagram.com/cbre_cz/" \t "_blank" </w:instrText>
      </w:r>
      <w:r w:rsidRPr="00867D5F">
        <w:rPr>
          <w:rFonts w:ascii="Segoe UI" w:hAnsi="Segoe UI" w:cs="Segoe UI"/>
          <w:color w:val="000000"/>
          <w:sz w:val="18"/>
          <w:szCs w:val="18"/>
        </w:rPr>
        <w:fldChar w:fldCharType="separate"/>
      </w:r>
      <w:r w:rsidRPr="00867D5F">
        <w:rPr>
          <w:rStyle w:val="normaltextrun"/>
          <w:rFonts w:ascii="Calibri" w:hAnsi="Calibri" w:cs="Segoe UI"/>
          <w:color w:val="0000FF"/>
          <w:u w:val="single"/>
        </w:rPr>
        <w:t>Instagram</w:t>
      </w:r>
      <w:proofErr w:type="spellEnd"/>
      <w:r w:rsidRPr="00867D5F">
        <w:rPr>
          <w:rFonts w:ascii="Segoe UI" w:hAnsi="Segoe UI" w:cs="Segoe UI"/>
          <w:color w:val="000000"/>
          <w:sz w:val="18"/>
          <w:szCs w:val="18"/>
        </w:rPr>
        <w:fldChar w:fldCharType="end"/>
      </w:r>
      <w:r w:rsidRPr="00867D5F">
        <w:rPr>
          <w:rStyle w:val="eop"/>
          <w:rFonts w:ascii="Calibri" w:hAnsi="Calibri" w:cs="Segoe UI"/>
          <w:color w:val="000000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lastRenderedPageBreak/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42CBEB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proofErr w:type="spellStart"/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proofErr w:type="spellEnd"/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4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20DA0D8C" w:rsidR="00614452" w:rsidRDefault="00614452" w:rsidP="0074248D">
      <w:pPr>
        <w:jc w:val="both"/>
        <w:rPr>
          <w:rFonts w:ascii="Calibri" w:eastAsia="Calibri" w:hAnsi="Calibri" w:cs="Calibri"/>
          <w:bCs/>
          <w:lang w:val="cs-CZ"/>
        </w:rPr>
      </w:pPr>
    </w:p>
    <w:sectPr w:rsidR="00614452" w:rsidSect="004818C2">
      <w:headerReference w:type="default" r:id="rId15"/>
      <w:headerReference w:type="first" r:id="rId16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30B63" w14:textId="77777777" w:rsidR="00F0743F" w:rsidRDefault="00F0743F" w:rsidP="004818C2">
      <w:r>
        <w:separator/>
      </w:r>
    </w:p>
  </w:endnote>
  <w:endnote w:type="continuationSeparator" w:id="0">
    <w:p w14:paraId="3B56131C" w14:textId="77777777" w:rsidR="00F0743F" w:rsidRDefault="00F0743F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F794F" w14:textId="77777777" w:rsidR="00F0743F" w:rsidRDefault="00F0743F" w:rsidP="004818C2">
      <w:r>
        <w:separator/>
      </w:r>
    </w:p>
  </w:footnote>
  <w:footnote w:type="continuationSeparator" w:id="0">
    <w:p w14:paraId="397419C9" w14:textId="77777777" w:rsidR="00F0743F" w:rsidRDefault="00F0743F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 w:rsidR="0074248D"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D9DFFDA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6D40"/>
    <w:rsid w:val="001F074F"/>
    <w:rsid w:val="001F320C"/>
    <w:rsid w:val="001F54B0"/>
    <w:rsid w:val="001F62CB"/>
    <w:rsid w:val="001F6C1D"/>
    <w:rsid w:val="002029EE"/>
    <w:rsid w:val="00212555"/>
    <w:rsid w:val="00221B1F"/>
    <w:rsid w:val="00221FD7"/>
    <w:rsid w:val="00223C21"/>
    <w:rsid w:val="00233472"/>
    <w:rsid w:val="0024164E"/>
    <w:rsid w:val="002459CD"/>
    <w:rsid w:val="00250415"/>
    <w:rsid w:val="00255E93"/>
    <w:rsid w:val="002620B6"/>
    <w:rsid w:val="0026275B"/>
    <w:rsid w:val="00270AA9"/>
    <w:rsid w:val="0027382B"/>
    <w:rsid w:val="00274BD1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36FCC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5B73"/>
    <w:rsid w:val="0067166B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3E8D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6D21"/>
    <w:rsid w:val="00E27A29"/>
    <w:rsid w:val="00E31566"/>
    <w:rsid w:val="00E31D07"/>
    <w:rsid w:val="00E32DC0"/>
    <w:rsid w:val="00E33C73"/>
    <w:rsid w:val="00E362F8"/>
    <w:rsid w:val="00E42355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re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A13BB5-EB3A-4775-8354-0A5820D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5</cp:revision>
  <cp:lastPrinted>2020-02-10T10:11:00Z</cp:lastPrinted>
  <dcterms:created xsi:type="dcterms:W3CDTF">2020-04-20T12:08:00Z</dcterms:created>
  <dcterms:modified xsi:type="dcterms:W3CDTF">2020-04-22T14:18:00Z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